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3D58"/>
          <w:sz w:val="34"/>
        </w:rPr>
        <w:t>ASSODOLAB</w:t>
      </w:r>
    </w:p>
    <w:p>
      <w:pPr>
        <w:jc w:val="center"/>
      </w:pPr>
      <w:r>
        <w:t>Associazione Nazionale Docenti di Laboratorio</w:t>
      </w:r>
    </w:p>
    <w:p>
      <w:pPr>
        <w:jc w:val="center"/>
      </w:pPr>
      <w:r>
        <w:rPr>
          <w:b/>
        </w:rPr>
        <w:t>FORMAZIONE SCUOLA-LAVORO (FSL) · A.S. 2026/2027</w:t>
      </w:r>
    </w:p>
    <w:p>
      <w:pPr>
        <w:pStyle w:val="Heading1"/>
      </w:pPr>
      <w:r>
        <w:rPr>
          <w:color w:val="143D58"/>
        </w:rPr>
        <w:t>Scheda amministrativa per le segreterie scolastiche</w:t>
      </w:r>
    </w:p>
    <w:p>
      <w:r>
        <w:t>Dati identificativi e coordinate bancarie comunicati da ASSODOLAB, a supporto della predisposizione degli atti amministrativo-contabili relativi a eventuali accordi formativi con le scuole.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Denominazione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ASSODOLAB – Associazione Nazionale Docenti di Laboratorio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Qualifica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Ente accreditato e qualificato dal MIM – Direttiva 170/2016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Sede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Via Cavour, 76 – 76015 Trinitapoli (BT) – Italy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Partita IVA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03039870716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Telefono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339 2661022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PEO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agostino.delbuono@assodolab.it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PEC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agostino.delbuono@pec.it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Intestatario del conto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ASSODOLAB ASSOCIAZIONE NAZIONALE DOCENTI DI LABO [denominazione comunicata, da verificare integralmente]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Banca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Banca Monte dei Paschi di Siena (MPS)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Filiale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Barletta (BT)</w:t>
            </w:r>
          </w:p>
        </w:tc>
      </w:tr>
      <w:tr>
        <w:tc>
          <w:tcPr>
            <w:tcW w:type="dxa" w:w="2376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>IBAN</w:t>
            </w:r>
          </w:p>
        </w:tc>
        <w:tc>
          <w:tcPr>
            <w:tcW w:type="dxa" w:w="7056"/>
            <w:vAlign w:val="center"/>
          </w:tcPr>
          <w:p>
            <w:pPr>
              <w:spacing w:after="0"/>
            </w:pPr>
            <w:r>
              <w:rPr>
                <w:sz w:val="17"/>
              </w:rPr>
              <w:t>IT07E0103041350000063382335</w:t>
            </w:r>
          </w:p>
        </w:tc>
      </w:tr>
    </w:tbl>
    <w:p>
      <w:pPr>
        <w:pStyle w:val="Heading2"/>
      </w:pPr>
      <w:r>
        <w:t>Indicazioni per l’uso</w:t>
      </w:r>
    </w:p>
    <w:p>
      <w:pPr>
        <w:pStyle w:val="ListBullet"/>
      </w:pPr>
      <w:r>
        <w:t>La presente scheda è destinata agli uffici amministrativi delle istituzioni scolastiche; non è una richiesta di pagamento né sostituisce un accordo sottoscritto.</w:t>
      </w:r>
    </w:p>
    <w:p>
      <w:pPr>
        <w:pStyle w:val="ListBullet"/>
      </w:pPr>
      <w:r>
        <w:t>Contributo formativo indicativo: €50 per studente partecipante. L’eventuale corrispettivo, la documentazione contabile e le modalità di pagamento devono essere definiti con la scuola nell’ambito degli atti applicabili.</w:t>
      </w:r>
    </w:p>
    <w:p>
      <w:pPr>
        <w:pStyle w:val="ListBullet"/>
      </w:pPr>
      <w:r>
        <w:t>Prima di disporre pagamenti, la segreteria deve confermare per canale istituzionale l’intestazione integrale del conto, le coordinate bancarie e gli eventuali dati amministrativi necessari (es. fatturazione elettronica, split payment, tracciabilità, CIG, ove applicabili).</w:t>
      </w:r>
    </w:p>
    <w:p>
      <w:pPr>
        <w:pStyle w:val="ListBullet"/>
      </w:pPr>
      <w:r>
        <w:t>Nessuno studente è invitato a effettuare un bonifico autonomamente per ottenere il riconoscimento delle ore FSL.</w:t>
      </w:r>
    </w:p>
    <w:p>
      <w:r>
        <w:rPr>
          <w:i/>
        </w:rPr>
        <w:t>Nota di verifica: l’IBAN comunicato è formalmente valido al controllo della cifra di verifica; ciò non certifica la titolarità bancaria. L’intestatario è stato riportato esattamente come comunicato, con dicitura troncata: da completare prima dell’uso definitivo.</w:t>
      </w:r>
    </w:p>
    <w:p>
      <w:r>
        <w:rPr>
          <w:b/>
        </w:rPr>
        <w:t>Documento informativo da confermare con ASSODOLAB prima dell’utilizzo amministrativo.</w:t>
      </w:r>
    </w:p>
    <w:sectPr w:rsidR="00FC693F" w:rsidRPr="0006063C" w:rsidSect="00034616">
      <w:headerReference w:type="default" r:id="rId9"/>
      <w:pgSz w:w="12240" w:h="15840"/>
      <w:pgMar w:top="691" w:right="1800" w:bottom="648" w:left="1800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drawing>
        <wp:inline xmlns:a="http://schemas.openxmlformats.org/drawingml/2006/main" xmlns:pic="http://schemas.openxmlformats.org/drawingml/2006/picture">
          <wp:extent cx="612648" cy="6126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assodolab(7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648" cy="6126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